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31.05.2017 N 485</w:t>
              <w:br/>
              <w:t xml:space="preserve">(ред. от 08.02.2021)</w:t>
              <w:br/>
              <w:t xml:space="preserve">"Об утверждении федерального государственного образовательного стандарта высшего образования - магистратура по направлению подготовки 32.04.01 Общественное здравоохранение"</w:t>
              <w:br/>
              <w:t xml:space="preserve">(Зарегистрировано в Минюсте России 23.06.2017 N 47138)</w:t>
              <w:br/>
              <w:t xml:space="preserve">(с изм. и доп., вступ. в силу с 01.09.2021)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23 июня 2017 г. N 47138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мая 2017 г. N 485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МАГИСТРАТУРА ПО НАПРАВЛЕНИЮ</w:t>
      </w:r>
    </w:p>
    <w:p>
      <w:pPr>
        <w:pStyle w:val="2"/>
        <w:jc w:val="center"/>
      </w:pPr>
      <w:r>
        <w:rPr>
          <w:sz w:val="20"/>
        </w:rPr>
        <w:t xml:space="preserve">ПОДГОТОВКИ 32.04.01 ОБЩЕСТВЕННОЕ ЗДРАВООХРАНЕНИЕ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9"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N 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и </w:t>
      </w:r>
      <w:hyperlink w:history="0" r:id="rId10"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8"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магистратура по направлению подготовки 32.04.01 Общественное здравоохранение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и научная организация вправе осуществлять в соответствии со </w:t>
      </w:r>
      <w:hyperlink w:history="0" w:anchor="P38"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30.03.2015 N 313 (с изм. от 17.11.2023) &quot;Об утверждении федерального государственного образовательного стандарта высшего образования по направлению подготовки 32.04.01 Общественное здравоохранение (уровень магистратуры)&quot; (Зарегистрировано в Минюсте России 20.04.2015 N 36928) {КонсультантПлюс}">
        <w:r>
          <w:rPr>
            <w:sz w:val="20"/>
            <w:color w:val="0000ff"/>
          </w:rPr>
          <w:t xml:space="preserve">стандартом</w:t>
        </w:r>
      </w:hyperlink>
      <w:r>
        <w:rPr>
          <w:sz w:val="20"/>
        </w:rPr>
        <w:t xml:space="preserve"> высшего образования по направлению подготовки 32.04.01 Общественное здравоохранение (уровень магистратуры), утвержденным приказом Министерства образования и науки Российской Федерации от 30 марта 2015 г. N 313 (зарегистрирован Министерством юстиции Российской Федерации 20 апреля 2015 г., регистрационный N 36928), прекращается 31 декабря 2018 года.</w:t>
      </w:r>
    </w:p>
    <w:p>
      <w:pPr>
        <w:pStyle w:val="0"/>
        <w:spacing w:before="200" w:lineRule="auto"/>
        <w:ind w:firstLine="540"/>
        <w:jc w:val="both"/>
      </w:pPr>
      <w:r>
        <w:rPr>
          <w:sz w:val="20"/>
        </w:rPr>
        <w:t xml:space="preserve">3. Настоящий приказ вступает в силу с 30 декабря 2017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31 мая 2017 г. N 485</w:t>
      </w:r>
    </w:p>
    <w:p>
      <w:pPr>
        <w:pStyle w:val="0"/>
        <w:jc w:val="both"/>
      </w:pPr>
      <w:r>
        <w:rPr>
          <w:sz w:val="20"/>
        </w:rPr>
      </w:r>
    </w:p>
    <w:bookmarkStart w:id="38" w:name="P38"/>
    <w:bookmarkEnd w:id="38"/>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МАГИСТРАТУРА ПО НАПРАВЛЕНИЮ</w:t>
      </w:r>
    </w:p>
    <w:p>
      <w:pPr>
        <w:pStyle w:val="2"/>
        <w:jc w:val="center"/>
      </w:pPr>
      <w:r>
        <w:rPr>
          <w:sz w:val="20"/>
        </w:rPr>
        <w:t xml:space="preserve">ПОДГОТОВКИ 32.04.01 ОБЩЕСТВЕННОЕ ЗДРАВООХРАНЕНИЕ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2"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13"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N 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магистратуры по направлению подготовки 32.04.01 Общественное здравоохранение (далее соответственно - программа магистратуры, направление подготовки).</w:t>
      </w:r>
    </w:p>
    <w:p>
      <w:pPr>
        <w:pStyle w:val="0"/>
        <w:spacing w:before="200" w:lineRule="auto"/>
        <w:ind w:firstLine="540"/>
        <w:jc w:val="both"/>
      </w:pPr>
      <w:r>
        <w:rPr>
          <w:sz w:val="20"/>
        </w:rPr>
        <w:t xml:space="preserve">1.2. Получение образования по программе магистратуры допускается только в образовательной организации высшего образования и научной организации (далее вместе - Организация).</w:t>
      </w:r>
    </w:p>
    <w:p>
      <w:pPr>
        <w:pStyle w:val="0"/>
        <w:spacing w:before="200" w:lineRule="auto"/>
        <w:ind w:firstLine="540"/>
        <w:jc w:val="both"/>
      </w:pPr>
      <w:r>
        <w:rPr>
          <w:sz w:val="20"/>
        </w:rPr>
        <w:t xml:space="preserve">1.3. Обучение по программе магистратуры в Организации может осуществляться в очной и очно-заочной формах.</w:t>
      </w:r>
    </w:p>
    <w:p>
      <w:pPr>
        <w:pStyle w:val="0"/>
        <w:spacing w:before="200" w:lineRule="auto"/>
        <w:ind w:firstLine="540"/>
        <w:jc w:val="both"/>
      </w:pPr>
      <w:r>
        <w:rPr>
          <w:sz w:val="20"/>
        </w:rPr>
        <w:t xml:space="preserve">1.4. Содержание высшего образования по направлению подготовки определяется программой магистратуры, разрабатываемой и утверждаемой Организацией самостоятельно. При разработке программы магистратуры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магистратуры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магистратуры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магистратуры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магистратуры реализуется на государственном языке Российской Федерации, если иное не определено локальным нормативным актом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4" w:tooltip="Федеральный закон от 29.12.2012 N 273-ФЗ (ред. от 08.03.2026) &quot;Об образовании в Российской Федерации&quot; ------------ Недействующая редакция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78; N 10, ст. 1320; N 23, ст. 3289, ст. 3290; N 27, ст. 4160, ст. 4219, ст. 4223, ст. 4238, ст. 4239, ст. 4245, ст. 4246, ст. 4292; 2017, N 18, ст. 2670).</w:t>
      </w:r>
    </w:p>
    <w:p>
      <w:pPr>
        <w:pStyle w:val="0"/>
        <w:jc w:val="both"/>
      </w:pPr>
      <w:r>
        <w:rPr>
          <w:sz w:val="20"/>
        </w:rPr>
      </w:r>
    </w:p>
    <w:bookmarkStart w:id="59" w:name="P59"/>
    <w:bookmarkEnd w:id="59"/>
    <w:p>
      <w:pPr>
        <w:pStyle w:val="0"/>
        <w:ind w:firstLine="540"/>
        <w:jc w:val="both"/>
      </w:pPr>
      <w:r>
        <w:rPr>
          <w:sz w:val="20"/>
        </w:rPr>
        <w:t xml:space="preserve">1.8. Срок получения образования по программе магистратуры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2 года;</w:t>
      </w:r>
    </w:p>
    <w:p>
      <w:pPr>
        <w:pStyle w:val="0"/>
        <w:spacing w:before="200" w:lineRule="auto"/>
        <w:ind w:firstLine="540"/>
        <w:jc w:val="both"/>
      </w:pPr>
      <w:r>
        <w:rPr>
          <w:sz w:val="20"/>
        </w:rPr>
        <w:t xml:space="preserve">в очно-заочной форме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 установленным для соответствующей формы обучения.</w:t>
      </w:r>
    </w:p>
    <w:bookmarkStart w:id="63" w:name="P63"/>
    <w:bookmarkEnd w:id="63"/>
    <w:p>
      <w:pPr>
        <w:pStyle w:val="0"/>
        <w:spacing w:before="200" w:lineRule="auto"/>
        <w:ind w:firstLine="540"/>
        <w:jc w:val="both"/>
      </w:pPr>
      <w:r>
        <w:rPr>
          <w:sz w:val="20"/>
        </w:rPr>
        <w:t xml:space="preserve">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pPr>
        <w:pStyle w:val="0"/>
        <w:spacing w:before="200" w:lineRule="auto"/>
        <w:ind w:firstLine="540"/>
        <w:jc w:val="both"/>
      </w:pPr>
      <w:r>
        <w:rPr>
          <w:sz w:val="20"/>
        </w:rPr>
        <w:t xml:space="preserve">Объем программы магистратуры,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59" w:tooltip="1.8. Срок получения образования по программе магистратуры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3" w:tooltip="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магистратуры в очно-заочной форме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магистратуры, реализуемый за один учебный год.</w:t>
      </w:r>
    </w:p>
    <w:bookmarkStart w:id="68" w:name="P68"/>
    <w:bookmarkEnd w:id="68"/>
    <w:p>
      <w:pPr>
        <w:pStyle w:val="0"/>
        <w:spacing w:before="200" w:lineRule="auto"/>
        <w:ind w:firstLine="540"/>
        <w:jc w:val="both"/>
      </w:pPr>
      <w:r>
        <w:rPr>
          <w:sz w:val="20"/>
        </w:rPr>
        <w:t xml:space="preserve">1.11. Области профессиональной деятельности &lt;2&gt; и (или)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w:t>
      </w:r>
    </w:p>
    <w:p>
      <w:pPr>
        <w:pStyle w:val="0"/>
        <w:spacing w:before="200" w:lineRule="auto"/>
        <w:ind w:firstLine="540"/>
        <w:jc w:val="both"/>
      </w:pPr>
      <w:r>
        <w:rPr>
          <w:sz w:val="20"/>
        </w:rPr>
        <w:t xml:space="preserve">01 Образование и наука (в сфере научных исследований);</w:t>
      </w:r>
    </w:p>
    <w:p>
      <w:pPr>
        <w:pStyle w:val="0"/>
        <w:spacing w:before="200" w:lineRule="auto"/>
        <w:ind w:firstLine="540"/>
        <w:jc w:val="both"/>
      </w:pPr>
      <w:r>
        <w:rPr>
          <w:sz w:val="20"/>
        </w:rPr>
        <w:t xml:space="preserve">02 Здравоохранение (в сфере организации системы здравоохранения в целях обеспечения общественного здоровья).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Таблицу</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5" w:name="P75"/>
    <w:bookmarkEnd w:id="75"/>
    <w:p>
      <w:pPr>
        <w:pStyle w:val="0"/>
        <w:spacing w:before="200" w:lineRule="auto"/>
        <w:ind w:firstLine="540"/>
        <w:jc w:val="both"/>
      </w:pPr>
      <w:r>
        <w:rPr>
          <w:sz w:val="20"/>
        </w:rPr>
        <w:t xml:space="preserve">1.12. В рамках освоения программы магистратуры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научно-исследовательский.</w:t>
      </w:r>
    </w:p>
    <w:p>
      <w:pPr>
        <w:pStyle w:val="0"/>
        <w:spacing w:before="200" w:lineRule="auto"/>
        <w:ind w:firstLine="540"/>
        <w:jc w:val="both"/>
      </w:pPr>
      <w:r>
        <w:rPr>
          <w:sz w:val="20"/>
        </w:rPr>
        <w:t xml:space="preserve">1.13. При разработке программы магистратуры Организация устанавливает направленность (профиль) программы магистратуры, которая конкретизирует содержание программы магистратуры в рамках направления подготовки путем ориентации ее на:</w:t>
      </w:r>
    </w:p>
    <w:p>
      <w:pPr>
        <w:pStyle w:val="0"/>
        <w:spacing w:before="200" w:lineRule="auto"/>
        <w:ind w:firstLine="540"/>
        <w:jc w:val="both"/>
      </w:pPr>
      <w:r>
        <w:rPr>
          <w:sz w:val="20"/>
        </w:rPr>
        <w:t xml:space="preserve">область (области) профессиональной деятельности и сферу (сферы)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магистратуры,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магистратуры</w:t>
      </w:r>
    </w:p>
    <w:p>
      <w:pPr>
        <w:pStyle w:val="0"/>
        <w:jc w:val="both"/>
      </w:pPr>
      <w:r>
        <w:rPr>
          <w:sz w:val="20"/>
        </w:rPr>
      </w:r>
    </w:p>
    <w:p>
      <w:pPr>
        <w:pStyle w:val="0"/>
        <w:ind w:firstLine="540"/>
        <w:jc w:val="both"/>
      </w:pPr>
      <w:r>
        <w:rPr>
          <w:sz w:val="20"/>
        </w:rPr>
        <w:t xml:space="preserve">2.1. Структура программы магистратуры включает следующие блоки:</w:t>
      </w:r>
    </w:p>
    <w:p>
      <w:pPr>
        <w:pStyle w:val="0"/>
        <w:spacing w:before="200" w:lineRule="auto"/>
        <w:ind w:firstLine="540"/>
        <w:jc w:val="both"/>
      </w:pPr>
      <w:hyperlink w:history="0" w:anchor="P97"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0"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3"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2"/>
        <w:outlineLvl w:val="2"/>
        <w:jc w:val="center"/>
      </w:pPr>
      <w:r>
        <w:rPr>
          <w:sz w:val="20"/>
        </w:rPr>
        <w:t xml:space="preserve">Структура и объем программы магистратуры</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81"/>
        <w:gridCol w:w="4195"/>
        <w:gridCol w:w="3572"/>
      </w:tblGrid>
      <w:tr>
        <w:tc>
          <w:tcPr>
            <w:gridSpan w:val="2"/>
            <w:tcW w:w="5476" w:type="dxa"/>
          </w:tcPr>
          <w:p>
            <w:pPr>
              <w:pStyle w:val="0"/>
              <w:jc w:val="center"/>
            </w:pPr>
            <w:r>
              <w:rPr>
                <w:sz w:val="20"/>
              </w:rPr>
              <w:t xml:space="preserve">Структура программы магистратуры</w:t>
            </w:r>
          </w:p>
        </w:tc>
        <w:tc>
          <w:tcPr>
            <w:tcW w:w="3572" w:type="dxa"/>
          </w:tcPr>
          <w:p>
            <w:pPr>
              <w:pStyle w:val="0"/>
              <w:jc w:val="center"/>
            </w:pPr>
            <w:r>
              <w:rPr>
                <w:sz w:val="20"/>
              </w:rPr>
              <w:t xml:space="preserve">Объем программы магистратуры и ее блоков в з.е.</w:t>
            </w:r>
          </w:p>
        </w:tc>
      </w:tr>
      <w:tr>
        <w:tc>
          <w:tcPr>
            <w:tcW w:w="1281" w:type="dxa"/>
          </w:tcPr>
          <w:bookmarkStart w:id="97" w:name="P97"/>
          <w:bookmarkEnd w:id="97"/>
          <w:p>
            <w:pPr>
              <w:pStyle w:val="0"/>
              <w:jc w:val="center"/>
            </w:pPr>
            <w:r>
              <w:rPr>
                <w:sz w:val="20"/>
              </w:rPr>
              <w:t xml:space="preserve">Блок 1</w:t>
            </w:r>
          </w:p>
        </w:tc>
        <w:tc>
          <w:tcPr>
            <w:tcW w:w="4195" w:type="dxa"/>
          </w:tcPr>
          <w:p>
            <w:pPr>
              <w:pStyle w:val="0"/>
            </w:pPr>
            <w:r>
              <w:rPr>
                <w:sz w:val="20"/>
              </w:rPr>
              <w:t xml:space="preserve">Дисциплины (модули)</w:t>
            </w:r>
          </w:p>
        </w:tc>
        <w:tc>
          <w:tcPr>
            <w:tcW w:w="3572" w:type="dxa"/>
          </w:tcPr>
          <w:p>
            <w:pPr>
              <w:pStyle w:val="0"/>
              <w:jc w:val="center"/>
            </w:pPr>
            <w:r>
              <w:rPr>
                <w:sz w:val="20"/>
              </w:rPr>
              <w:t xml:space="preserve">не менее 51</w:t>
            </w:r>
          </w:p>
        </w:tc>
      </w:tr>
      <w:tr>
        <w:tc>
          <w:tcPr>
            <w:tcW w:w="1281" w:type="dxa"/>
          </w:tcPr>
          <w:bookmarkStart w:id="100" w:name="P100"/>
          <w:bookmarkEnd w:id="100"/>
          <w:p>
            <w:pPr>
              <w:pStyle w:val="0"/>
              <w:jc w:val="center"/>
            </w:pPr>
            <w:r>
              <w:rPr>
                <w:sz w:val="20"/>
              </w:rPr>
              <w:t xml:space="preserve">Блок 2</w:t>
            </w:r>
          </w:p>
        </w:tc>
        <w:tc>
          <w:tcPr>
            <w:tcW w:w="4195" w:type="dxa"/>
          </w:tcPr>
          <w:p>
            <w:pPr>
              <w:pStyle w:val="0"/>
            </w:pPr>
            <w:r>
              <w:rPr>
                <w:sz w:val="20"/>
              </w:rPr>
              <w:t xml:space="preserve">Практика</w:t>
            </w:r>
          </w:p>
        </w:tc>
        <w:tc>
          <w:tcPr>
            <w:tcW w:w="3572" w:type="dxa"/>
          </w:tcPr>
          <w:p>
            <w:pPr>
              <w:pStyle w:val="0"/>
              <w:jc w:val="center"/>
            </w:pPr>
            <w:r>
              <w:rPr>
                <w:sz w:val="20"/>
              </w:rPr>
              <w:t xml:space="preserve">не менее 39</w:t>
            </w:r>
          </w:p>
        </w:tc>
      </w:tr>
      <w:tr>
        <w:tc>
          <w:tcPr>
            <w:tcW w:w="1281" w:type="dxa"/>
          </w:tcPr>
          <w:bookmarkStart w:id="103" w:name="P103"/>
          <w:bookmarkEnd w:id="103"/>
          <w:p>
            <w:pPr>
              <w:pStyle w:val="0"/>
              <w:jc w:val="center"/>
            </w:pPr>
            <w:r>
              <w:rPr>
                <w:sz w:val="20"/>
              </w:rPr>
              <w:t xml:space="preserve">Блок 3</w:t>
            </w:r>
          </w:p>
        </w:tc>
        <w:tc>
          <w:tcPr>
            <w:tcW w:w="4195" w:type="dxa"/>
          </w:tcPr>
          <w:p>
            <w:pPr>
              <w:pStyle w:val="0"/>
            </w:pPr>
            <w:r>
              <w:rPr>
                <w:sz w:val="20"/>
              </w:rPr>
              <w:t xml:space="preserve">Государственная итоговая аттестация</w:t>
            </w:r>
          </w:p>
        </w:tc>
        <w:tc>
          <w:tcPr>
            <w:tcW w:w="3572" w:type="dxa"/>
            <w:vAlign w:val="center"/>
          </w:tcPr>
          <w:p>
            <w:pPr>
              <w:pStyle w:val="0"/>
              <w:jc w:val="center"/>
            </w:pPr>
            <w:r>
              <w:rPr>
                <w:sz w:val="20"/>
              </w:rPr>
              <w:t xml:space="preserve">3 - 9</w:t>
            </w:r>
          </w:p>
        </w:tc>
      </w:tr>
      <w:tr>
        <w:tc>
          <w:tcPr>
            <w:gridSpan w:val="2"/>
            <w:tcW w:w="5476" w:type="dxa"/>
          </w:tcPr>
          <w:p>
            <w:pPr>
              <w:pStyle w:val="0"/>
              <w:ind w:firstLine="283"/>
              <w:jc w:val="both"/>
            </w:pPr>
            <w:r>
              <w:rPr>
                <w:sz w:val="20"/>
              </w:rPr>
              <w:t xml:space="preserve">Объем программы магистратуры</w:t>
            </w:r>
          </w:p>
        </w:tc>
        <w:tc>
          <w:tcPr>
            <w:tcW w:w="3572" w:type="dxa"/>
          </w:tcPr>
          <w:p>
            <w:pPr>
              <w:pStyle w:val="0"/>
              <w:jc w:val="center"/>
            </w:pPr>
            <w:r>
              <w:rPr>
                <w:sz w:val="20"/>
              </w:rPr>
              <w:t xml:space="preserve">120</w:t>
            </w:r>
          </w:p>
        </w:tc>
      </w:tr>
    </w:tbl>
    <w:p>
      <w:pPr>
        <w:pStyle w:val="0"/>
        <w:jc w:val="both"/>
      </w:pPr>
      <w:r>
        <w:rPr>
          <w:sz w:val="20"/>
        </w:rPr>
      </w:r>
    </w:p>
    <w:bookmarkStart w:id="109" w:name="P109"/>
    <w:bookmarkEnd w:id="109"/>
    <w:p>
      <w:pPr>
        <w:pStyle w:val="0"/>
        <w:ind w:firstLine="540"/>
        <w:jc w:val="both"/>
      </w:pPr>
      <w:r>
        <w:rPr>
          <w:sz w:val="20"/>
        </w:rPr>
        <w:t xml:space="preserve">2.2. В </w:t>
      </w:r>
      <w:hyperlink w:history="0" w:anchor="P100"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научно-педагогическая практика.</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научно-исследовательская практика;</w:t>
      </w:r>
    </w:p>
    <w:p>
      <w:pPr>
        <w:pStyle w:val="0"/>
        <w:spacing w:before="200" w:lineRule="auto"/>
        <w:ind w:firstLine="540"/>
        <w:jc w:val="both"/>
      </w:pPr>
      <w:r>
        <w:rPr>
          <w:sz w:val="20"/>
        </w:rPr>
        <w:t xml:space="preserve">научно-производственная практика;</w:t>
      </w:r>
    </w:p>
    <w:p>
      <w:pPr>
        <w:pStyle w:val="0"/>
        <w:spacing w:before="200" w:lineRule="auto"/>
        <w:ind w:firstLine="540"/>
        <w:jc w:val="both"/>
      </w:pPr>
      <w:r>
        <w:rPr>
          <w:sz w:val="20"/>
        </w:rPr>
        <w:t xml:space="preserve">технологическая практика;</w:t>
      </w:r>
    </w:p>
    <w:p>
      <w:pPr>
        <w:pStyle w:val="0"/>
        <w:spacing w:before="200" w:lineRule="auto"/>
        <w:ind w:firstLine="540"/>
        <w:jc w:val="both"/>
      </w:pPr>
      <w:r>
        <w:rPr>
          <w:sz w:val="20"/>
        </w:rPr>
        <w:t xml:space="preserve">проектная практика;</w:t>
      </w:r>
    </w:p>
    <w:p>
      <w:pPr>
        <w:pStyle w:val="0"/>
        <w:spacing w:before="200" w:lineRule="auto"/>
        <w:ind w:firstLine="540"/>
        <w:jc w:val="both"/>
      </w:pPr>
      <w:r>
        <w:rPr>
          <w:sz w:val="20"/>
        </w:rPr>
        <w:t xml:space="preserve">административно-управленческая практика;</w:t>
      </w:r>
    </w:p>
    <w:p>
      <w:pPr>
        <w:pStyle w:val="0"/>
        <w:spacing w:before="200" w:lineRule="auto"/>
        <w:ind w:firstLine="540"/>
        <w:jc w:val="both"/>
      </w:pPr>
      <w:r>
        <w:rPr>
          <w:sz w:val="20"/>
        </w:rPr>
        <w:t xml:space="preserve">научно-исследовательская работа.</w:t>
      </w:r>
    </w:p>
    <w:p>
      <w:pPr>
        <w:pStyle w:val="0"/>
        <w:spacing w:before="200" w:lineRule="auto"/>
        <w:ind w:firstLine="540"/>
        <w:jc w:val="both"/>
      </w:pPr>
      <w:r>
        <w:rPr>
          <w:sz w:val="20"/>
        </w:rPr>
        <w:t xml:space="preserve">2.3. В дополнение к типам практик, указанным в </w:t>
      </w:r>
      <w:hyperlink w:history="0" w:anchor="P109" w:tooltip="2.2. В Блок 2 &quot;Практика&quot; входят учебная и производственная практики (далее вместе - практики).">
        <w:r>
          <w:rPr>
            <w:sz w:val="20"/>
            <w:color w:val="0000ff"/>
          </w:rPr>
          <w:t xml:space="preserve">пункте 2.2</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2.4. Организация:</w:t>
      </w:r>
    </w:p>
    <w:p>
      <w:pPr>
        <w:pStyle w:val="0"/>
        <w:spacing w:before="200" w:lineRule="auto"/>
        <w:ind w:firstLine="540"/>
        <w:jc w:val="both"/>
      </w:pPr>
      <w:r>
        <w:rPr>
          <w:sz w:val="20"/>
        </w:rPr>
        <w:t xml:space="preserve">выбирает один или несколько типов учебной практики и один или несколько типов производственной практики из перечня, указанного в </w:t>
      </w:r>
      <w:hyperlink w:history="0" w:anchor="P109" w:tooltip="2.2. В Блок 2 &quot;Практика&quot; входят учебная и производственная практики (далее вместе - практики).">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и (или) производственной практик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2.5. В </w:t>
      </w:r>
      <w:hyperlink w:history="0" w:anchor="P103"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подготовка к процедуре защиты и защита выпускной квалификационной работы.</w:t>
      </w:r>
    </w:p>
    <w:p>
      <w:pPr>
        <w:pStyle w:val="0"/>
        <w:jc w:val="both"/>
      </w:pPr>
      <w:r>
        <w:rPr>
          <w:sz w:val="20"/>
        </w:rPr>
        <w:t xml:space="preserve">(в ред. </w:t>
      </w:r>
      <w:hyperlink w:history="0" r:id="rId16"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p>
      <w:pPr>
        <w:pStyle w:val="0"/>
        <w:spacing w:before="200" w:lineRule="auto"/>
        <w:ind w:firstLine="540"/>
        <w:jc w:val="both"/>
      </w:pPr>
      <w:r>
        <w:rPr>
          <w:sz w:val="20"/>
        </w:rPr>
        <w:t xml:space="preserve">2.6. При разработке программы магистратуры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магистратуры.</w:t>
      </w:r>
    </w:p>
    <w:p>
      <w:pPr>
        <w:pStyle w:val="0"/>
        <w:spacing w:before="200" w:lineRule="auto"/>
        <w:ind w:firstLine="540"/>
        <w:jc w:val="both"/>
      </w:pPr>
      <w:r>
        <w:rPr>
          <w:sz w:val="20"/>
        </w:rPr>
        <w:t xml:space="preserve">2.7. В рамках программы магистратуры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магистратуры относятся дисциплины (модули) и практики, обеспечивающие формирование общепрофессиональных компетенций, определяемых ФГОС ВО.</w:t>
      </w:r>
    </w:p>
    <w:p>
      <w:pPr>
        <w:pStyle w:val="0"/>
        <w:jc w:val="both"/>
      </w:pPr>
      <w:r>
        <w:rPr>
          <w:sz w:val="20"/>
        </w:rPr>
        <w:t xml:space="preserve">(в ред. </w:t>
      </w:r>
      <w:hyperlink w:history="0" r:id="rId17"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Приказа</w:t>
        </w:r>
      </w:hyperlink>
      <w:r>
        <w:rPr>
          <w:sz w:val="20"/>
        </w:rPr>
        <w:t xml:space="preserve"> Минобрнауки России от 08.02.2021 N 82)</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магистратуры и (или) в часть, формируемую участниками образовательных отношений.</w:t>
      </w:r>
    </w:p>
    <w:p>
      <w:pPr>
        <w:pStyle w:val="0"/>
        <w:jc w:val="both"/>
      </w:pPr>
      <w:r>
        <w:rPr>
          <w:sz w:val="20"/>
        </w:rPr>
        <w:t xml:space="preserve">(в ред. </w:t>
      </w:r>
      <w:hyperlink w:history="0" r:id="rId18"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Приказа</w:t>
        </w:r>
      </w:hyperlink>
      <w:r>
        <w:rPr>
          <w:sz w:val="20"/>
        </w:rPr>
        <w:t xml:space="preserve"> Минобрнауки России от 08.02.2021 N 82)</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20 процентов общего объема программы магистратуры.</w:t>
      </w:r>
    </w:p>
    <w:p>
      <w:pPr>
        <w:pStyle w:val="0"/>
        <w:spacing w:before="200" w:lineRule="auto"/>
        <w:ind w:firstLine="540"/>
        <w:jc w:val="both"/>
      </w:pPr>
      <w:r>
        <w:rPr>
          <w:sz w:val="20"/>
        </w:rPr>
        <w:t xml:space="preserve">2.8. Организация должна предоставлять инвалидам и лицам с ОВЗ (по их заявлению) возможность обучения по программе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магистратуры</w:t>
      </w:r>
    </w:p>
    <w:p>
      <w:pPr>
        <w:pStyle w:val="0"/>
        <w:jc w:val="both"/>
      </w:pPr>
      <w:r>
        <w:rPr>
          <w:sz w:val="20"/>
        </w:rPr>
      </w:r>
    </w:p>
    <w:p>
      <w:pPr>
        <w:pStyle w:val="0"/>
        <w:ind w:firstLine="540"/>
        <w:jc w:val="both"/>
      </w:pPr>
      <w:r>
        <w:rPr>
          <w:sz w:val="20"/>
        </w:rPr>
        <w:t xml:space="preserve">3.1. В результате освоения программы магистратуры у выпускника должны быть сформированы компетенции, установленные программой магистратуры.</w:t>
      </w:r>
    </w:p>
    <w:p>
      <w:pPr>
        <w:pStyle w:val="0"/>
        <w:spacing w:before="200" w:lineRule="auto"/>
        <w:ind w:firstLine="540"/>
        <w:jc w:val="both"/>
      </w:pPr>
      <w:r>
        <w:rPr>
          <w:sz w:val="20"/>
        </w:rPr>
        <w:t xml:space="preserve">3.2. Программа магистратуры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6066"/>
      </w:tblGrid>
      <w:tr>
        <w:tc>
          <w:tcPr>
            <w:tcW w:w="3005" w:type="dxa"/>
          </w:tcPr>
          <w:p>
            <w:pPr>
              <w:pStyle w:val="0"/>
              <w:jc w:val="center"/>
            </w:pPr>
            <w:r>
              <w:rPr>
                <w:sz w:val="20"/>
              </w:rPr>
              <w:t xml:space="preserve">Наименование категории (группы) универсальных компетенций</w:t>
            </w:r>
          </w:p>
        </w:tc>
        <w:tc>
          <w:tcPr>
            <w:tcW w:w="6066" w:type="dxa"/>
          </w:tcPr>
          <w:p>
            <w:pPr>
              <w:pStyle w:val="0"/>
              <w:jc w:val="center"/>
            </w:pPr>
            <w:r>
              <w:rPr>
                <w:sz w:val="20"/>
              </w:rPr>
              <w:t xml:space="preserve">Код и наименование универсальной компетенции выпускника</w:t>
            </w:r>
          </w:p>
        </w:tc>
      </w:tr>
      <w:tr>
        <w:tc>
          <w:tcPr>
            <w:tcW w:w="3005" w:type="dxa"/>
            <w:vAlign w:val="center"/>
          </w:tcPr>
          <w:p>
            <w:pPr>
              <w:pStyle w:val="0"/>
            </w:pPr>
            <w:r>
              <w:rPr>
                <w:sz w:val="20"/>
              </w:rPr>
              <w:t xml:space="preserve">Системное и критическое мышление</w:t>
            </w:r>
          </w:p>
        </w:tc>
        <w:tc>
          <w:tcPr>
            <w:tcW w:w="6066" w:type="dxa"/>
          </w:tcPr>
          <w:p>
            <w:pPr>
              <w:pStyle w:val="0"/>
            </w:pPr>
            <w:r>
              <w:rPr>
                <w:sz w:val="20"/>
              </w:rPr>
              <w:t xml:space="preserve">УК-1. Способен осуществлять критический анализ проблемных ситуаций на основе системного подхода, вырабатывать стратегию действий</w:t>
            </w:r>
          </w:p>
        </w:tc>
      </w:tr>
      <w:tr>
        <w:tc>
          <w:tcPr>
            <w:tcW w:w="3005" w:type="dxa"/>
            <w:vAlign w:val="center"/>
          </w:tcPr>
          <w:p>
            <w:pPr>
              <w:pStyle w:val="0"/>
            </w:pPr>
            <w:r>
              <w:rPr>
                <w:sz w:val="20"/>
              </w:rPr>
              <w:t xml:space="preserve">Разработка и реализация проектов</w:t>
            </w:r>
          </w:p>
        </w:tc>
        <w:tc>
          <w:tcPr>
            <w:tcW w:w="6066" w:type="dxa"/>
          </w:tcPr>
          <w:p>
            <w:pPr>
              <w:pStyle w:val="0"/>
            </w:pPr>
            <w:r>
              <w:rPr>
                <w:sz w:val="20"/>
              </w:rPr>
              <w:t xml:space="preserve">УК-2. Способен управлять проектом на всех этапах его жизненного цикла</w:t>
            </w:r>
          </w:p>
        </w:tc>
      </w:tr>
      <w:tr>
        <w:tc>
          <w:tcPr>
            <w:tcW w:w="3005" w:type="dxa"/>
            <w:vAlign w:val="center"/>
          </w:tcPr>
          <w:p>
            <w:pPr>
              <w:pStyle w:val="0"/>
            </w:pPr>
            <w:r>
              <w:rPr>
                <w:sz w:val="20"/>
              </w:rPr>
              <w:t xml:space="preserve">Командная работа и лидерство</w:t>
            </w:r>
          </w:p>
        </w:tc>
        <w:tc>
          <w:tcPr>
            <w:tcW w:w="6066" w:type="dxa"/>
          </w:tcPr>
          <w:p>
            <w:pPr>
              <w:pStyle w:val="0"/>
            </w:pPr>
            <w:r>
              <w:rPr>
                <w:sz w:val="20"/>
              </w:rPr>
              <w:t xml:space="preserve">УК-3. Способен организовывать и руководить работой команды, вырабатывая командную стратегию для достижения поставленной цели</w:t>
            </w:r>
          </w:p>
        </w:tc>
      </w:tr>
      <w:tr>
        <w:tc>
          <w:tcPr>
            <w:tcW w:w="3005" w:type="dxa"/>
            <w:vAlign w:val="center"/>
          </w:tcPr>
          <w:p>
            <w:pPr>
              <w:pStyle w:val="0"/>
            </w:pPr>
            <w:r>
              <w:rPr>
                <w:sz w:val="20"/>
              </w:rPr>
              <w:t xml:space="preserve">Коммуникация</w:t>
            </w:r>
          </w:p>
        </w:tc>
        <w:tc>
          <w:tcPr>
            <w:tcW w:w="6066" w:type="dxa"/>
          </w:tcPr>
          <w:p>
            <w:pPr>
              <w:pStyle w:val="0"/>
            </w:pPr>
            <w:r>
              <w:rPr>
                <w:sz w:val="20"/>
              </w:rPr>
              <w:t xml:space="preserve">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tc>
          <w:tcPr>
            <w:tcW w:w="3005" w:type="dxa"/>
            <w:vAlign w:val="center"/>
          </w:tcPr>
          <w:p>
            <w:pPr>
              <w:pStyle w:val="0"/>
            </w:pPr>
            <w:r>
              <w:rPr>
                <w:sz w:val="20"/>
              </w:rPr>
              <w:t xml:space="preserve">Межкультурное взаимодействие</w:t>
            </w:r>
          </w:p>
        </w:tc>
        <w:tc>
          <w:tcPr>
            <w:tcW w:w="6066" w:type="dxa"/>
          </w:tcPr>
          <w:p>
            <w:pPr>
              <w:pStyle w:val="0"/>
            </w:pPr>
            <w:r>
              <w:rPr>
                <w:sz w:val="20"/>
              </w:rPr>
              <w:t xml:space="preserve">УК-5. Способен анализировать и учитывать разнообразие культур в процессе межкультурного взаимодействия</w:t>
            </w:r>
          </w:p>
        </w:tc>
      </w:tr>
      <w:tr>
        <w:tc>
          <w:tcPr>
            <w:tcW w:w="3005" w:type="dxa"/>
            <w:vAlign w:val="center"/>
          </w:tcPr>
          <w:p>
            <w:pPr>
              <w:pStyle w:val="0"/>
            </w:pPr>
            <w:r>
              <w:rPr>
                <w:sz w:val="20"/>
              </w:rPr>
              <w:t xml:space="preserve">Самоорганизация и саморазвитие (в том числе здоровьесбережение)</w:t>
            </w:r>
          </w:p>
        </w:tc>
        <w:tc>
          <w:tcPr>
            <w:tcW w:w="6066" w:type="dxa"/>
          </w:tcPr>
          <w:p>
            <w:pPr>
              <w:pStyle w:val="0"/>
            </w:pPr>
            <w:r>
              <w:rPr>
                <w:sz w:val="20"/>
              </w:rPr>
              <w:t xml:space="preserve">УК-6. Способен определять и реализовывать приоритеты собственной деятельности и способы ее совершенствования на основе самооценки</w:t>
            </w:r>
          </w:p>
        </w:tc>
      </w:tr>
    </w:tbl>
    <w:p>
      <w:pPr>
        <w:pStyle w:val="0"/>
        <w:jc w:val="both"/>
      </w:pPr>
      <w:r>
        <w:rPr>
          <w:sz w:val="20"/>
        </w:rPr>
      </w:r>
    </w:p>
    <w:p>
      <w:pPr>
        <w:pStyle w:val="0"/>
        <w:ind w:firstLine="540"/>
        <w:jc w:val="both"/>
      </w:pPr>
      <w:r>
        <w:rPr>
          <w:sz w:val="20"/>
        </w:rPr>
        <w:t xml:space="preserve">3.3. Программа магистратуры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jc w:val="center"/>
            </w:pPr>
            <w:r>
              <w:rPr>
                <w:sz w:val="20"/>
              </w:rPr>
              <w:t xml:space="preserve">Наименование категории (группы) общепрофессиональных компетенций</w:t>
            </w:r>
          </w:p>
        </w:tc>
        <w:tc>
          <w:tcPr>
            <w:tcW w:w="6293" w:type="dxa"/>
          </w:tcPr>
          <w:p>
            <w:pPr>
              <w:pStyle w:val="0"/>
              <w:jc w:val="center"/>
            </w:pPr>
            <w:r>
              <w:rPr>
                <w:sz w:val="20"/>
              </w:rPr>
              <w:t xml:space="preserve">Код и наименование общепрофессиональной компетенции выпускника</w:t>
            </w:r>
          </w:p>
        </w:tc>
      </w:tr>
      <w:tr>
        <w:tc>
          <w:tcPr>
            <w:tcW w:w="2778" w:type="dxa"/>
            <w:vAlign w:val="center"/>
          </w:tcPr>
          <w:p>
            <w:pPr>
              <w:pStyle w:val="0"/>
            </w:pPr>
            <w:r>
              <w:rPr>
                <w:sz w:val="20"/>
              </w:rPr>
              <w:t xml:space="preserve">Научная и организационная деятельность</w:t>
            </w:r>
          </w:p>
        </w:tc>
        <w:tc>
          <w:tcPr>
            <w:tcW w:w="6293" w:type="dxa"/>
          </w:tcPr>
          <w:p>
            <w:pPr>
              <w:pStyle w:val="0"/>
              <w:jc w:val="both"/>
            </w:pPr>
            <w:r>
              <w:rPr>
                <w:sz w:val="20"/>
              </w:rPr>
              <w:t xml:space="preserve">ОПК-1. Способность к подготовке и применению научной, научно-производственной, проектной, организационно-управленческой и нормативной документации в системе здравоохранения</w:t>
            </w:r>
          </w:p>
        </w:tc>
      </w:tr>
      <w:tr>
        <w:tc>
          <w:tcPr>
            <w:tcW w:w="2778" w:type="dxa"/>
            <w:vAlign w:val="center"/>
          </w:tcPr>
          <w:p>
            <w:pPr>
              <w:pStyle w:val="0"/>
            </w:pPr>
            <w:r>
              <w:rPr>
                <w:sz w:val="20"/>
              </w:rPr>
              <w:t xml:space="preserve">Информационная безопасность</w:t>
            </w:r>
          </w:p>
        </w:tc>
        <w:tc>
          <w:tcPr>
            <w:tcW w:w="6293" w:type="dxa"/>
          </w:tcPr>
          <w:p>
            <w:pPr>
              <w:pStyle w:val="0"/>
              <w:jc w:val="both"/>
            </w:pPr>
            <w:r>
              <w:rPr>
                <w:sz w:val="20"/>
              </w:rPr>
              <w:t xml:space="preserve">ОПК-2. Способность использовать информационные технологии в профессиональной деятельности, соблюдать основные требования информационной безопасности</w:t>
            </w:r>
          </w:p>
        </w:tc>
      </w:tr>
      <w:tr>
        <w:tc>
          <w:tcPr>
            <w:tcW w:w="2778" w:type="dxa"/>
            <w:vAlign w:val="center"/>
          </w:tcPr>
          <w:p>
            <w:pPr>
              <w:pStyle w:val="0"/>
            </w:pPr>
            <w:r>
              <w:rPr>
                <w:sz w:val="20"/>
              </w:rPr>
              <w:t xml:space="preserve">Менеджмент</w:t>
            </w:r>
          </w:p>
        </w:tc>
        <w:tc>
          <w:tcPr>
            <w:tcW w:w="6293" w:type="dxa"/>
          </w:tcPr>
          <w:p>
            <w:pPr>
              <w:pStyle w:val="0"/>
              <w:jc w:val="both"/>
            </w:pPr>
            <w:r>
              <w:rPr>
                <w:sz w:val="20"/>
              </w:rPr>
              <w:t xml:space="preserve">ОПК-3. Способность реализовывать управленческие принципы в профессиональной деятельности</w:t>
            </w:r>
          </w:p>
        </w:tc>
      </w:tr>
      <w:tr>
        <w:tc>
          <w:tcPr>
            <w:tcW w:w="2778" w:type="dxa"/>
            <w:vAlign w:val="center"/>
          </w:tcPr>
          <w:p>
            <w:pPr>
              <w:pStyle w:val="0"/>
            </w:pPr>
            <w:r>
              <w:rPr>
                <w:sz w:val="20"/>
              </w:rPr>
              <w:t xml:space="preserve">Биостатистика</w:t>
            </w:r>
          </w:p>
        </w:tc>
        <w:tc>
          <w:tcPr>
            <w:tcW w:w="6293" w:type="dxa"/>
          </w:tcPr>
          <w:p>
            <w:pPr>
              <w:pStyle w:val="0"/>
              <w:jc w:val="both"/>
            </w:pPr>
            <w:r>
              <w:rPr>
                <w:sz w:val="20"/>
              </w:rPr>
              <w:t xml:space="preserve">ОПК-4. Способность к применению современных методик сбора и обработки информации, к проведению статистического анализа и интерпретации результатов, к изучению, анализу, оценке тенденций, к прогнозированию развития событий в состояния популяционного здоровья населения</w:t>
            </w:r>
          </w:p>
        </w:tc>
      </w:tr>
      <w:tr>
        <w:tc>
          <w:tcPr>
            <w:tcW w:w="2778" w:type="dxa"/>
            <w:vAlign w:val="center"/>
          </w:tcPr>
          <w:p>
            <w:pPr>
              <w:pStyle w:val="0"/>
            </w:pPr>
            <w:r>
              <w:rPr>
                <w:sz w:val="20"/>
              </w:rPr>
              <w:t xml:space="preserve">Организация публичных мероприятий</w:t>
            </w:r>
          </w:p>
        </w:tc>
        <w:tc>
          <w:tcPr>
            <w:tcW w:w="6293" w:type="dxa"/>
          </w:tcPr>
          <w:p>
            <w:pPr>
              <w:pStyle w:val="0"/>
              <w:jc w:val="both"/>
            </w:pPr>
            <w:r>
              <w:rPr>
                <w:sz w:val="20"/>
              </w:rPr>
              <w:t xml:space="preserve">ОПК-5. Способность к организации публичных мероприятий для решения задач профессиональной деятельности, в том числе с международными партнерами</w:t>
            </w:r>
          </w:p>
        </w:tc>
      </w:tr>
      <w:tr>
        <w:tc>
          <w:tcPr>
            <w:tcW w:w="2778" w:type="dxa"/>
            <w:vAlign w:val="center"/>
          </w:tcPr>
          <w:p>
            <w:pPr>
              <w:pStyle w:val="0"/>
            </w:pPr>
            <w:r>
              <w:rPr>
                <w:sz w:val="20"/>
              </w:rPr>
              <w:t xml:space="preserve">Первая помощь</w:t>
            </w:r>
          </w:p>
        </w:tc>
        <w:tc>
          <w:tcPr>
            <w:tcW w:w="6293" w:type="dxa"/>
          </w:tcPr>
          <w:p>
            <w:pPr>
              <w:pStyle w:val="0"/>
              <w:jc w:val="both"/>
            </w:pPr>
            <w:r>
              <w:rPr>
                <w:sz w:val="20"/>
              </w:rPr>
              <w:t xml:space="preserve">ОПК-6. Способность к организации ухода за больными и оказанию первой доврачебной медико-санитарной помощи при неотложных состояниях в условиях чрезвычайных ситуаций, эпидемий, в очагах массового поражения</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19">
        <w:r>
          <w:rPr>
            <w:sz w:val="20"/>
            <w:color w:val="0000ff"/>
          </w:rPr>
          <w:t xml:space="preserve">http://profstandart.rosmintrud.ru</w:t>
        </w:r>
      </w:hyperlink>
      <w:r>
        <w:rPr>
          <w:sz w:val="20"/>
        </w:rPr>
        <w:t xml:space="preserve">) &lt;3&gt;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См. </w:t>
      </w: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N 46168).</w:t>
      </w:r>
    </w:p>
    <w:p>
      <w:pPr>
        <w:pStyle w:val="0"/>
        <w:ind w:firstLine="54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pPr>
        <w:pStyle w:val="0"/>
        <w:jc w:val="both"/>
      </w:pPr>
      <w:r>
        <w:rPr>
          <w:sz w:val="20"/>
        </w:rPr>
        <w:t xml:space="preserve">(п. 3.4 в ред. </w:t>
      </w:r>
      <w:hyperlink w:history="0" r:id="rId21"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Приказа</w:t>
        </w:r>
      </w:hyperlink>
      <w:r>
        <w:rPr>
          <w:sz w:val="20"/>
        </w:rPr>
        <w:t xml:space="preserve"> Минобрнауки России от 08.02.2021 N 82)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2"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ind w:firstLine="54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jc w:val="both"/>
      </w:pPr>
      <w:r>
        <w:rPr>
          <w:sz w:val="20"/>
        </w:rPr>
        <w:t xml:space="preserve">(п. 3.5 в ред. </w:t>
      </w:r>
      <w:hyperlink w:history="0" r:id="rId23"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Приказа</w:t>
        </w:r>
      </w:hyperlink>
      <w:r>
        <w:rPr>
          <w:sz w:val="20"/>
        </w:rPr>
        <w:t xml:space="preserve"> Минобрнауки России от 08.02.2021 N 82)</w:t>
      </w:r>
    </w:p>
    <w:p>
      <w:pPr>
        <w:pStyle w:val="0"/>
        <w:spacing w:before="200" w:lineRule="auto"/>
        <w:ind w:firstLine="540"/>
        <w:jc w:val="both"/>
      </w:pPr>
      <w:r>
        <w:rPr>
          <w:sz w:val="20"/>
        </w:rPr>
        <w:t xml:space="preserve">3.6. Совокупность компетенций, установленных программой магистратуры,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history="0" w:anchor="P68" w:tooltip="1.11. Области профессиональной деятельности &lt;2&gt; и (ил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5" w:tooltip="1.12. В рамках освоения программы магистратуры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магистратуры индикаторы достижения компетенций самостоятельно.</w:t>
      </w:r>
    </w:p>
    <w:p>
      <w:pPr>
        <w:pStyle w:val="0"/>
        <w:jc w:val="both"/>
      </w:pPr>
      <w:r>
        <w:rPr>
          <w:sz w:val="20"/>
        </w:rPr>
        <w:t xml:space="preserve">(п. 3.7 в ред. </w:t>
      </w:r>
      <w:hyperlink w:history="0" r:id="rId24"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Приказа</w:t>
        </w:r>
      </w:hyperlink>
      <w:r>
        <w:rPr>
          <w:sz w:val="20"/>
        </w:rPr>
        <w:t xml:space="preserve"> Минобрнауки России от 08.02.2021 N 82)</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магистратуры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магистратуры.</w:t>
      </w:r>
    </w:p>
    <w:p>
      <w:pPr>
        <w:pStyle w:val="0"/>
        <w:jc w:val="both"/>
      </w:pPr>
      <w:r>
        <w:rPr>
          <w:sz w:val="20"/>
        </w:rPr>
      </w:r>
    </w:p>
    <w:p>
      <w:pPr>
        <w:pStyle w:val="2"/>
        <w:outlineLvl w:val="1"/>
        <w:jc w:val="center"/>
      </w:pPr>
      <w:r>
        <w:rPr>
          <w:sz w:val="20"/>
        </w:rPr>
        <w:t xml:space="preserve">IV. Требования к условиям реализации программы магистратуры</w:t>
      </w:r>
    </w:p>
    <w:p>
      <w:pPr>
        <w:pStyle w:val="0"/>
        <w:jc w:val="both"/>
      </w:pPr>
      <w:r>
        <w:rPr>
          <w:sz w:val="20"/>
        </w:rPr>
      </w:r>
    </w:p>
    <w:p>
      <w:pPr>
        <w:pStyle w:val="0"/>
        <w:ind w:firstLine="540"/>
        <w:jc w:val="both"/>
      </w:pPr>
      <w:r>
        <w:rPr>
          <w:sz w:val="20"/>
        </w:rPr>
        <w:t xml:space="preserve">4.1. Требования к условиям реализации программы магистратуры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магистратуры, а также требования к применяемым механизмам оценки качества образовательной деятельности и подготовки обучающихся по программе магистратуры.</w:t>
      </w:r>
    </w:p>
    <w:p>
      <w:pPr>
        <w:pStyle w:val="0"/>
        <w:jc w:val="both"/>
      </w:pPr>
      <w:r>
        <w:rPr>
          <w:sz w:val="20"/>
        </w:rPr>
      </w:r>
    </w:p>
    <w:p>
      <w:pPr>
        <w:pStyle w:val="2"/>
        <w:outlineLvl w:val="2"/>
        <w:ind w:firstLine="540"/>
        <w:jc w:val="both"/>
      </w:pPr>
      <w:r>
        <w:rPr>
          <w:sz w:val="20"/>
        </w:rPr>
        <w:t xml:space="preserve">4.2. Общесистемные требования к реализации программы магистратуры.</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w:t>
      </w:r>
      <w:hyperlink w:history="0" w:anchor="P97" w:tooltip="Блок 1">
        <w:r>
          <w:rPr>
            <w:sz w:val="20"/>
            <w:color w:val="0000ff"/>
          </w:rPr>
          <w:t xml:space="preserve">Блоку 1</w:t>
        </w:r>
      </w:hyperlink>
      <w:r>
        <w:rPr>
          <w:sz w:val="20"/>
        </w:rPr>
        <w:t xml:space="preserve"> "Дисциплины (модули)" и </w:t>
      </w:r>
      <w:hyperlink w:history="0" w:anchor="P103"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практик, электронным учебным изданиям и электронным образовательным ресурсам, указанным в рабочих программах дисциплин (модулей),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магистратуры;</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Федеральный </w:t>
      </w:r>
      <w:hyperlink w:history="0" r:id="rId25"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N 52, ст. 7491), Федеральный </w:t>
      </w:r>
      <w:hyperlink w:history="0" r:id="rId26"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w:t>
      </w:r>
    </w:p>
    <w:p>
      <w:pPr>
        <w:pStyle w:val="0"/>
        <w:jc w:val="both"/>
      </w:pPr>
      <w:r>
        <w:rPr>
          <w:sz w:val="20"/>
        </w:rPr>
      </w:r>
    </w:p>
    <w:p>
      <w:pPr>
        <w:pStyle w:val="0"/>
        <w:ind w:firstLine="540"/>
        <w:jc w:val="both"/>
      </w:pPr>
      <w:r>
        <w:rPr>
          <w:sz w:val="20"/>
        </w:rPr>
        <w:t xml:space="preserve">4.2.3.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pPr>
        <w:pStyle w:val="0"/>
        <w:spacing w:before="200" w:lineRule="auto"/>
        <w:ind w:firstLine="540"/>
        <w:jc w:val="both"/>
      </w:pPr>
      <w:r>
        <w:rPr>
          <w:sz w:val="20"/>
        </w:rPr>
        <w:t xml:space="preserve">4.2.4. Утратил силу с 1 сентября 2021 года. - </w:t>
      </w:r>
      <w:hyperlink w:history="0" r:id="rId27"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w:t>
        </w:r>
      </w:hyperlink>
      <w:r>
        <w:rPr>
          <w:sz w:val="20"/>
        </w:rPr>
        <w:t xml:space="preserve"> Минобрнауки России от 26.11.2020 N 1456.</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магистратуры.</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программы магистратуры.</w:t>
      </w:r>
    </w:p>
    <w:p>
      <w:pPr>
        <w:pStyle w:val="0"/>
        <w:spacing w:before="200" w:lineRule="auto"/>
        <w:ind w:firstLine="540"/>
        <w:jc w:val="both"/>
      </w:pPr>
      <w:r>
        <w:rPr>
          <w:sz w:val="20"/>
        </w:rPr>
        <w:t xml:space="preserve">4.4.1. 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5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w:t>
      </w:r>
    </w:p>
    <w:p>
      <w:pPr>
        <w:pStyle w:val="0"/>
        <w:spacing w:before="200" w:lineRule="auto"/>
        <w:ind w:firstLine="540"/>
        <w:jc w:val="both"/>
      </w:pPr>
      <w:r>
        <w:rPr>
          <w:sz w:val="20"/>
        </w:rPr>
        <w:t xml:space="preserve">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4.4.6. 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программы магистратуры.</w:t>
      </w:r>
    </w:p>
    <w:p>
      <w:pPr>
        <w:pStyle w:val="0"/>
        <w:spacing w:before="200" w:lineRule="auto"/>
        <w:ind w:firstLine="540"/>
        <w:jc w:val="both"/>
      </w:pPr>
      <w:r>
        <w:rPr>
          <w:sz w:val="20"/>
        </w:rPr>
        <w:t xml:space="preserve">4.5.1.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образования и науки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См. </w:t>
      </w:r>
      <w:hyperlink w:history="0" r:id="rId28"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магистратуры.</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магистратуры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w:t>
      </w:r>
    </w:p>
    <w:p>
      <w:pPr>
        <w:pStyle w:val="0"/>
        <w:jc w:val="both"/>
      </w:pPr>
      <w:r>
        <w:rPr>
          <w:sz w:val="20"/>
        </w:rPr>
        <w:t xml:space="preserve">(в ред. </w:t>
      </w:r>
      <w:hyperlink w:history="0" r:id="rId29" w:tooltip="Приказ Минобрнауки России от 08.02.2021 N 82 &quot;О внесении изменений в федеральные государственные образовательные стандарты высшего образования - магистратура по направлениям подготовки&quot; (Зарегистрировано в Минюсте России 12.03.2021 N 62740) {КонсультантПлюс}">
        <w:r>
          <w:rPr>
            <w:sz w:val="20"/>
            <w:color w:val="0000ff"/>
          </w:rPr>
          <w:t xml:space="preserve">Приказа</w:t>
        </w:r>
      </w:hyperlink>
      <w:r>
        <w:rPr>
          <w:sz w:val="20"/>
        </w:rPr>
        <w:t xml:space="preserve"> Минобрнауки России от 08.02.2021 N 82)</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31.05.2017 N 485</w:t>
            <w:br/>
            <w:t>(ред. от 08.02.2021)</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85079&amp;dst=103647" TargetMode = "External"/><Relationship Id="rId9" Type="http://schemas.openxmlformats.org/officeDocument/2006/relationships/hyperlink" Target="https://login.consultant.ru/link/?req=doc&amp;base=LAW&amp;n=379283&amp;dst=100026" TargetMode = "External"/><Relationship Id="rId10" Type="http://schemas.openxmlformats.org/officeDocument/2006/relationships/hyperlink" Target="https://login.consultant.ru/link/?req=doc&amp;base=LAW&amp;n=287618&amp;dst=100042" TargetMode = "External"/><Relationship Id="rId11" Type="http://schemas.openxmlformats.org/officeDocument/2006/relationships/hyperlink" Target="https://login.consultant.ru/link/?req=doc&amp;base=LAW&amp;n=178503&amp;dst=100013" TargetMode = "External"/><Relationship Id="rId12" Type="http://schemas.openxmlformats.org/officeDocument/2006/relationships/hyperlink" Target="https://login.consultant.ru/link/?req=doc&amp;base=LAW&amp;n=385079&amp;dst=103647" TargetMode = "External"/><Relationship Id="rId13" Type="http://schemas.openxmlformats.org/officeDocument/2006/relationships/hyperlink" Target="https://login.consultant.ru/link/?req=doc&amp;base=LAW&amp;n=379283&amp;dst=100026" TargetMode = "External"/><Relationship Id="rId14" Type="http://schemas.openxmlformats.org/officeDocument/2006/relationships/hyperlink" Target="https://login.consultant.ru/link/?req=doc&amp;base=LAW&amp;n=528383&amp;dst=100249" TargetMode = "External"/><Relationship Id="rId15" Type="http://schemas.openxmlformats.org/officeDocument/2006/relationships/hyperlink" Target="https://login.consultant.ru/link/?req=doc&amp;base=LAW&amp;n=214720&amp;dst=100047" TargetMode = "External"/><Relationship Id="rId16" Type="http://schemas.openxmlformats.org/officeDocument/2006/relationships/hyperlink" Target="https://login.consultant.ru/link/?req=doc&amp;base=LAW&amp;n=385079&amp;dst=103648" TargetMode = "External"/><Relationship Id="rId17" Type="http://schemas.openxmlformats.org/officeDocument/2006/relationships/hyperlink" Target="https://login.consultant.ru/link/?req=doc&amp;base=LAW&amp;n=379283&amp;dst=100028" TargetMode = "External"/><Relationship Id="rId18" Type="http://schemas.openxmlformats.org/officeDocument/2006/relationships/hyperlink" Target="https://login.consultant.ru/link/?req=doc&amp;base=LAW&amp;n=379283&amp;dst=100030" TargetMode = "External"/><Relationship Id="rId19" Type="http://schemas.openxmlformats.org/officeDocument/2006/relationships/hyperlink" Target="http://profstandart.rosmintrud.ru" TargetMode = "External"/><Relationship Id="rId20" Type="http://schemas.openxmlformats.org/officeDocument/2006/relationships/hyperlink" Target="https://login.consultant.ru/link/?req=doc&amp;base=LAW&amp;n=214720&amp;dst=100006" TargetMode = "External"/><Relationship Id="rId21" Type="http://schemas.openxmlformats.org/officeDocument/2006/relationships/hyperlink" Target="https://login.consultant.ru/link/?req=doc&amp;base=LAW&amp;n=379283&amp;dst=100032" TargetMode = "External"/><Relationship Id="rId22" Type="http://schemas.openxmlformats.org/officeDocument/2006/relationships/hyperlink" Target="https://login.consultant.ru/link/?req=doc&amp;base=LAW&amp;n=146970" TargetMode = "External"/><Relationship Id="rId23" Type="http://schemas.openxmlformats.org/officeDocument/2006/relationships/hyperlink" Target="https://login.consultant.ru/link/?req=doc&amp;base=LAW&amp;n=379283&amp;dst=100036" TargetMode = "External"/><Relationship Id="rId24" Type="http://schemas.openxmlformats.org/officeDocument/2006/relationships/hyperlink" Target="https://login.consultant.ru/link/?req=doc&amp;base=LAW&amp;n=379283&amp;dst=100037" TargetMode = "External"/><Relationship Id="rId25" Type="http://schemas.openxmlformats.org/officeDocument/2006/relationships/hyperlink" Target="https://login.consultant.ru/link/?req=doc&amp;base=LAW&amp;n=511583" TargetMode = "External"/><Relationship Id="rId26" Type="http://schemas.openxmlformats.org/officeDocument/2006/relationships/hyperlink" Target="https://login.consultant.ru/link/?req=doc&amp;base=LAW&amp;n=499769" TargetMode = "External"/><Relationship Id="rId27" Type="http://schemas.openxmlformats.org/officeDocument/2006/relationships/hyperlink" Target="https://login.consultant.ru/link/?req=doc&amp;base=LAW&amp;n=385079&amp;dst=103650" TargetMode = "External"/><Relationship Id="rId28" Type="http://schemas.openxmlformats.org/officeDocument/2006/relationships/hyperlink" Target="https://login.consultant.ru/link/?req=doc&amp;base=LAW&amp;n=521255&amp;dst=100504" TargetMode = "External"/><Relationship Id="rId29" Type="http://schemas.openxmlformats.org/officeDocument/2006/relationships/hyperlink" Target="https://login.consultant.ru/link/?req=doc&amp;base=LAW&amp;n=379283&amp;dst=1000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31.05.2017 N 485
(ред. от 08.02.2021)
"Об утверждении федерального государственного образовательного стандарта высшего образования - магистратура по направлению подготовки 32.04.01 Общественное здравоохранение"
(Зарегистрировано в Минюсте России 23.06.2017 N 47138)
(с изм. и доп., вступ. в силу с 01.09.2021)</dc:title>
  <dcterms:created xsi:type="dcterms:W3CDTF">2026-04-28T11:53:25Z</dcterms:created>
</cp:coreProperties>
</file>